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ПОРЯДОК И УСЛОВИЯ ПРЕДОСТАВЛЕНИЯ БЕСПЛАТНОЙ</w:t>
      </w:r>
    </w:p>
    <w:p>
      <w:pPr>
        <w:pStyle w:val="ConsPlusTitle"/>
        <w:jc w:val="center"/>
        <w:rPr/>
      </w:pPr>
      <w:r>
        <w:rPr/>
        <w:t>МЕДИЦИНСКОЙ ПОМОЩИ В МЕДИЦИНСКИХ ОРГАНИЗАЦИЯХ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1</w:t>
      </w:r>
      <w:r>
        <w:rPr/>
        <w:t xml:space="preserve">. 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</w:t>
      </w:r>
      <w:hyperlink w:anchor="P3869">
        <w:r>
          <w:rPr>
            <w:rStyle w:val="Style"/>
            <w:color w:val="0000FF"/>
          </w:rPr>
          <w:t>перечнем</w:t>
        </w:r>
      </w:hyperlink>
      <w:r>
        <w:rPr/>
        <w:t xml:space="preserve">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N 1 к настоящей Программе.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Медицинские организации в соответствии с </w:t>
      </w:r>
      <w:hyperlink w:anchor="P3869">
        <w:r>
          <w:rPr>
            <w:rStyle w:val="Style"/>
            <w:color w:val="0000FF"/>
          </w:rPr>
          <w:t>перечнем</w:t>
        </w:r>
      </w:hyperlink>
      <w:r>
        <w:rPr/>
        <w:t xml:space="preserve"> медицинских организаций, указанных в приложении N 1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2</w:t>
      </w:r>
      <w:r>
        <w:rPr/>
        <w:t xml:space="preserve">. При оказании медицинской помощи в рамках Программы гражданин имеет право на выбор медицинской организации в </w:t>
      </w:r>
      <w:hyperlink r:id="rId2">
        <w:r>
          <w:rPr>
            <w:rStyle w:val="Style"/>
            <w:color w:val="0000FF"/>
          </w:rPr>
          <w:t>порядке</w:t>
        </w:r>
      </w:hyperlink>
      <w:r>
        <w:rPr/>
        <w:t>, утвержденном Приказом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осуществляемой ею медицинской деятельности, врачах, уровне их образования и квалификации.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3</w:t>
      </w:r>
      <w:r>
        <w:rPr/>
        <w:t>. 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</w:t>
      </w:r>
      <w:hyperlink r:id="rId3">
        <w:r>
          <w:rPr>
            <w:rStyle w:val="Style"/>
            <w:color w:val="0000FF"/>
          </w:rPr>
          <w:t>Законом</w:t>
        </w:r>
      </w:hyperlink>
      <w:r>
        <w:rPr/>
        <w:t xml:space="preserve">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инвалидам войны;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участникам Великой Отечественной войны;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ветеранам боевых действий;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лицам, награжденным знаком "Жителю блокадного Ленинграда";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вдовам инвалидов и участников Великой Отечественной войны;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9) реабилитированным лицам и лицам, признанным пострадавшими от политических репрессий;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10) Героям Социалистического Труда, Героям Труда Российской Федерации и полным кавалерам ордена Трудовой Славы;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13) вдовам (вдовцам) Героев Советского Союза, Героев Российской Федерации или полных кавалеров ордена Славы;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14) гражданам, награжденным нагрудным знаком "Почетный донор СССР" или "Почетный донор России";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15) детям-инвалидам, инвалидам I и II групп;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17) инвалидам вследствие чернобыльской катастрофы;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Предоставление медицинской помощи по всем видам ее оказания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работы), осуществляется в соответствии с порядком, утвержденным департаментом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5</w:t>
      </w:r>
      <w:r>
        <w:rPr/>
        <w:t>. В рамках настоящей Программы обеспечиваются мероприятия по профилактике заболеваний и формированию здорового образа жизни: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1) профилактический медицинский осмотр и диспансеризация определенных групп взрослого населения в </w:t>
      </w:r>
      <w:hyperlink r:id="rId4">
        <w:r>
          <w:rPr>
            <w:rStyle w:val="Style"/>
            <w:color w:val="0000FF"/>
          </w:rPr>
          <w:t>порядке</w:t>
        </w:r>
      </w:hyperlink>
      <w:r>
        <w:rPr/>
        <w:t xml:space="preserve"> и в сроки, которые утверждены Приказом Министерства здравоохранения Российской Федерации от 27 апреля 2021 года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Диспансеризация и профилактические медицинские осмотры определенных групп взрослого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Департамент здравоохранения Костромской области размещает на своем официальном сайте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2) прохождение несовершеннолетними профилактических медицинских осмотров в порядке и в сроки, которые установлены </w:t>
      </w:r>
      <w:hyperlink r:id="rId5">
        <w:r>
          <w:rPr>
            <w:rStyle w:val="Style"/>
            <w:color w:val="0000FF"/>
          </w:rPr>
          <w:t>Приказом</w:t>
        </w:r>
      </w:hyperlink>
      <w:r>
        <w:rPr/>
        <w:t xml:space="preserve"> Министерства здравоохранения Российской Федерации от 10 августа 2017 года N 514н "О Порядке проведения профилактических медицинских осмотров несовершеннолетних";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</w:t>
      </w:r>
      <w:hyperlink r:id="rId6">
        <w:r>
          <w:rPr>
            <w:rStyle w:val="Style"/>
            <w:color w:val="0000FF"/>
          </w:rPr>
          <w:t>N 168н</w:t>
        </w:r>
      </w:hyperlink>
      <w:r>
        <w:rPr/>
        <w:t xml:space="preserve"> "Об утверждении порядка проведения диспансерного наблюдения за взрослыми", от 4 июня 2020 года </w:t>
      </w:r>
      <w:hyperlink r:id="rId7">
        <w:r>
          <w:rPr>
            <w:rStyle w:val="Style"/>
            <w:color w:val="0000FF"/>
          </w:rPr>
          <w:t>N 548н</w:t>
        </w:r>
      </w:hyperlink>
      <w:r>
        <w:rPr/>
        <w:t xml:space="preserve"> "Об утверждении порядка диспансерного наблюдения за взрослыми с онкологическими заболеваниями", от 16 мая 2019 года </w:t>
      </w:r>
      <w:hyperlink r:id="rId8">
        <w:r>
          <w:rPr>
            <w:rStyle w:val="Style"/>
            <w:color w:val="0000FF"/>
          </w:rPr>
          <w:t>N 302н</w:t>
        </w:r>
      </w:hyperlink>
      <w:r>
        <w:rPr/>
        <w:t xml:space="preserve">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10 июня 2021 года </w:t>
      </w:r>
      <w:hyperlink r:id="rId9">
        <w:r>
          <w:rPr>
            <w:rStyle w:val="Style"/>
            <w:color w:val="0000FF"/>
          </w:rPr>
          <w:t>N 629н</w:t>
        </w:r>
      </w:hyperlink>
      <w:r>
        <w:rPr/>
        <w:t xml:space="preserve"> "Об утверждении Порядка диспансерного наблюдения детей с онкологическими и гематологическими заболеваниями";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санитарно-противоэпидемические мероприятия;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6</w:t>
      </w:r>
      <w:r>
        <w:rPr/>
        <w:t>. 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осуществляется оказание первичной доврачебной, врачебной медико-санитарной помощи врачами-терапевтами участковыми, врачами-педиатрами участковыми, врачами общей практики (семейными врачами), фельдшерами по предварительной записи (самозаписи), в том числе по телефону, с использованием информационно-телекоммуникационной сети Интернет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осуществлении патронажа детей в порядке, утвержденном уполномоченным федеральным органом исполнительной власти;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наблюдении до выздоровления детей в возрасте до 1 года в соответствии с порядками оказания медицинской помощи;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наблюдении до окончания заразного периода болезни больных инфекционными заболеваниями.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осуществляется оказание первичной специализированной медико-санитарной помощи врачами-специалистами: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при неотложных состояниях 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медицинская помощь оказывается в пределах установленных сроков ожидания: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ожидания приема врачами-терапевтами участковыми, врачами общей практики (семейными врачами), врачами-педиатрами участковыми, фельдшерами не должны превышать 24 часа с момента обращения пациента в медицинскую организацию;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проведения приемов (осмотров, консультаций, в том числе повторных)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 сроки проведения приемов (осмотров, консультаций, в том числе повторных) врачей-специалистов в случае подозрения на онкологическое заболевание не должны превышать 3 рабочих дня;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Уполномоченным федеральным органом исполнительной власти могут быть установлены иные сроки ожидания;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при оказании медицинской помощи в амбулаторных условиях в плановой форме производится лекарственное обеспечение: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по перечню и в объеме не менее объема, предусмотренного </w:t>
      </w:r>
      <w:hyperlink r:id="rId10">
        <w:r>
          <w:rPr>
            <w:rStyle w:val="Style"/>
            <w:color w:val="0000FF"/>
          </w:rPr>
          <w:t>приложением N 1</w:t>
        </w:r>
      </w:hyperlink>
      <w:r>
        <w:rPr/>
        <w:t xml:space="preserve"> 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12 октября 2019 года N 2406-р, и за счет средств областного бюджета по </w:t>
      </w:r>
      <w:hyperlink w:anchor="P4943">
        <w:r>
          <w:rPr>
            <w:rStyle w:val="Style"/>
            <w:color w:val="0000FF"/>
          </w:rPr>
          <w:t>перечню</w:t>
        </w:r>
      </w:hyperlink>
      <w:r>
        <w:rPr/>
        <w:t xml:space="preserve"> согласно приложению N 2 к Программе;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 оказании стоматологической помощи согласно </w:t>
      </w:r>
      <w:hyperlink w:anchor="P5344">
        <w:r>
          <w:rPr>
            <w:rStyle w:val="Style"/>
            <w:color w:val="0000FF"/>
          </w:rPr>
          <w:t>перечню</w:t>
        </w:r>
      </w:hyperlink>
      <w:r>
        <w:rPr/>
        <w:t xml:space="preserve"> стоматологических расходных материалов на 2025 год (приложение N 3 к Программе);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8)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(далее - </w:t>
      </w:r>
      <w:hyperlink w:anchor="P5472">
        <w:r>
          <w:rPr>
            <w:rStyle w:val="Style"/>
            <w:color w:val="0000FF"/>
          </w:rPr>
          <w:t>Перечень</w:t>
        </w:r>
      </w:hyperlink>
      <w:r>
        <w:rPr/>
        <w:t xml:space="preserve"> ЖНВЛП) (приложение N 5 к Программе);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9) 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10) 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предусмотренными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11) при оказании паллиативной помощи на дому граждане, в том числе дети, обеспечиваются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6</w:t>
      </w:r>
      <w:r>
        <w:rPr/>
        <w:t>. При оказании медицинской помощи в стационарных условиях: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догоспитального обследования, которые возможно выполнить на госпитальном этапе, не может являться причиной отказа в госпитализации.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2)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</w:t>
      </w:r>
      <w:hyperlink w:anchor="P5374">
        <w:r>
          <w:rPr>
            <w:rStyle w:val="Style"/>
            <w:color w:val="0000FF"/>
          </w:rPr>
          <w:t>Перечень</w:t>
        </w:r>
      </w:hyperlink>
      <w:r>
        <w:rPr/>
        <w:t xml:space="preserve"> медицинских организаций, участвующих в реализации Программы, оказывающих высокотехнологичную медицинскую помощь, указан в приложении N 4 к Программе;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4) пациенты круглосуточного стационара обеспечиваются лекарственными препаратами, включенными в территориальный </w:t>
      </w:r>
      <w:hyperlink w:anchor="P5472">
        <w:r>
          <w:rPr>
            <w:rStyle w:val="Style"/>
            <w:color w:val="0000FF"/>
          </w:rPr>
          <w:t>Перечень</w:t>
        </w:r>
      </w:hyperlink>
      <w:r>
        <w:rPr/>
        <w:t xml:space="preserve"> ЖНВЛП (приложение N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клинические рекомендации и/или Перечень ЖНВЛП, допускаются в случае наличия медицинских показаний (при нетипичном течении 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Перечень медицинских организаций,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 здравоохранения Костромской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</w:t>
      </w:r>
      <w:hyperlink r:id="rId11">
        <w:r>
          <w:rPr>
            <w:rStyle w:val="Style"/>
            <w:color w:val="0000FF"/>
          </w:rPr>
          <w:t>Перечнем</w:t>
        </w:r>
      </w:hyperlink>
      <w:r>
        <w:rPr/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Распоряжением Правительства Российской Федерации от 31 декабря 2018 года N 3053-р "Об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родоразрешения или наличия у отца или иного члена семьи инфекционных заболеваний;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ребенка-инвалида,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Федерального </w:t>
      </w:r>
      <w:hyperlink r:id="rId12">
        <w:r>
          <w:rPr>
            <w:rStyle w:val="Style"/>
            <w:color w:val="0000FF"/>
          </w:rPr>
          <w:t>закона</w:t>
        </w:r>
      </w:hyperlink>
      <w:r>
        <w:rPr/>
        <w:t xml:space="preserve"> от 27 июля 2006 года N 152-ФЗ "О персональных данных";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помощи).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7</w:t>
      </w:r>
      <w:r>
        <w:rPr/>
        <w:t>. При оказании медицинской помощи в условиях дневного стационара: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пациенты дневного стационара обеспечиваются: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лекарственными препаратами в соответствии с Перечнем ЖНВЛП;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8</w:t>
      </w:r>
      <w:r>
        <w:rPr/>
        <w:t>. 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 - 50 минут, свыше 60 км - 1 час 20 минут.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eastAsia="" w:cs="Calibri" w:eastAsiaTheme="minorEastAsia"/>
          <w:lang w:eastAsia="ru-RU"/>
        </w:rPr>
        <w:t>9</w:t>
      </w:r>
      <w:r>
        <w:rPr/>
        <w:t>. Медицинская помощь детям-сиротам и детям, оставшимся без попечения родителей, оказывается в медицинских организациях в соответствии с: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1) </w:t>
      </w:r>
      <w:hyperlink r:id="rId13">
        <w:r>
          <w:rPr>
            <w:rStyle w:val="Style"/>
            <w:color w:val="0000FF"/>
          </w:rPr>
          <w:t>Приказом</w:t>
        </w:r>
      </w:hyperlink>
      <w:r>
        <w:rPr/>
        <w:t xml:space="preserve"> Министерства здравоохранения и социального развития Российской Федерации от 16 апреля 2012 года N 366н "Об утверждении Порядка оказания педиатрической помощи";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2) </w:t>
      </w:r>
      <w:hyperlink r:id="rId14">
        <w:r>
          <w:rPr>
            <w:rStyle w:val="Style"/>
            <w:color w:val="0000FF"/>
          </w:rPr>
          <w:t>Приказом</w:t>
        </w:r>
      </w:hyperlink>
      <w:r>
        <w:rPr/>
        <w:t xml:space="preserve"> Министерства здравоохранения Российской Федерации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3) </w:t>
      </w:r>
      <w:hyperlink r:id="rId15">
        <w:r>
          <w:rPr>
            <w:rStyle w:val="Style"/>
            <w:color w:val="0000FF"/>
          </w:rPr>
          <w:t>Приказом</w:t>
        </w:r>
      </w:hyperlink>
      <w:r>
        <w:rPr/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</w:t>
      </w:r>
      <w:hyperlink r:id="rId16">
        <w:r>
          <w:rPr>
            <w:rStyle w:val="Style"/>
            <w:color w:val="0000FF"/>
          </w:rPr>
          <w:t>N 796н</w:t>
        </w:r>
      </w:hyperlink>
      <w:r>
        <w:rPr/>
        <w:t xml:space="preserve"> "Об утверждении Положения об организации оказания специализированной, в том числе высокотехнологичной, медицинской помощи", от 2 октября 2019 года </w:t>
      </w:r>
      <w:hyperlink r:id="rId17">
        <w:r>
          <w:rPr>
            <w:rStyle w:val="Style"/>
            <w:color w:val="0000FF"/>
          </w:rPr>
          <w:t>N 824н</w:t>
        </w:r>
      </w:hyperlink>
      <w:r>
        <w:rPr/>
        <w:t xml:space="preserve">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здравоохранения", от 23 октября 2019 года </w:t>
      </w:r>
      <w:hyperlink r:id="rId18">
        <w:r>
          <w:rPr>
            <w:rStyle w:val="Style"/>
            <w:color w:val="0000FF"/>
          </w:rPr>
          <w:t>N 878н</w:t>
        </w:r>
      </w:hyperlink>
      <w:r>
        <w:rPr/>
        <w:t xml:space="preserve"> "Об утверждении Порядка организации медицинской реабилитации детей".</w:t>
      </w:r>
    </w:p>
    <w:p>
      <w:pPr>
        <w:pStyle w:val="ConsPlusNormal"/>
        <w:numPr>
          <w:ilvl w:val="0"/>
          <w:numId w:val="0"/>
        </w:numPr>
        <w:shd w:val="clear" w:color="auto" w:fill="FFFFFF"/>
        <w:spacing w:lineRule="auto" w:line="240" w:before="220" w:after="0"/>
        <w:ind w:firstLine="540"/>
        <w:jc w:val="both"/>
        <w:textAlignment w:val="baseline"/>
        <w:outlineLvl w:val="2"/>
        <w:rPr/>
      </w:pP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lang w:eastAsia="ru-RU"/>
        </w:rPr>
        <w:t>10</w:t>
      </w:r>
      <w:r>
        <w:rPr>
          <w:rFonts w:eastAsia="Times New Roman" w:cs="Arial" w:ascii="Calibri" w:hAnsi="Calibri"/>
          <w:b w:val="false"/>
          <w:bCs w:val="false"/>
          <w:color w:val="000000"/>
          <w:sz w:val="22"/>
          <w:szCs w:val="22"/>
          <w:lang w:eastAsia="ru-RU"/>
        </w:rPr>
        <w:t>. 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 области.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6379a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6379a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6379a7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Formattext" w:customStyle="1">
    <w:name w:val="formattext"/>
    <w:basedOn w:val="Normal"/>
    <w:qFormat/>
    <w:rsid w:val="006379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ZB&amp;n=130221&amp;dst=100009" TargetMode="External"/><Relationship Id="rId3" Type="http://schemas.openxmlformats.org/officeDocument/2006/relationships/hyperlink" Target="https://login.consultant.ru/link/?req=doc&amp;base=RLAW265&amp;n=64669&amp;dst=100081" TargetMode="External"/><Relationship Id="rId4" Type="http://schemas.openxmlformats.org/officeDocument/2006/relationships/hyperlink" Target="https://login.consultant.ru/link/?req=doc&amp;base=RZB&amp;n=483648&amp;dst=100015" TargetMode="External"/><Relationship Id="rId5" Type="http://schemas.openxmlformats.org/officeDocument/2006/relationships/hyperlink" Target="https://login.consultant.ru/link/?req=doc&amp;base=RZB&amp;n=370075&amp;dst=100016" TargetMode="External"/><Relationship Id="rId6" Type="http://schemas.openxmlformats.org/officeDocument/2006/relationships/hyperlink" Target="https://login.consultant.ru/link/?req=doc&amp;base=RZB&amp;n=472753&amp;dst=100012" TargetMode="External"/><Relationship Id="rId7" Type="http://schemas.openxmlformats.org/officeDocument/2006/relationships/hyperlink" Target="https://login.consultant.ru/link/?req=doc&amp;base=RZB&amp;n=356172&amp;dst=100009" TargetMode="External"/><Relationship Id="rId8" Type="http://schemas.openxmlformats.org/officeDocument/2006/relationships/hyperlink" Target="https://login.consultant.ru/link/?req=doc&amp;base=RZB&amp;n=370078&amp;dst=100010" TargetMode="External"/><Relationship Id="rId9" Type="http://schemas.openxmlformats.org/officeDocument/2006/relationships/hyperlink" Target="https://login.consultant.ru/link/?req=doc&amp;base=RZB&amp;n=484858&amp;dst=100010" TargetMode="External"/><Relationship Id="rId10" Type="http://schemas.openxmlformats.org/officeDocument/2006/relationships/hyperlink" Target="https://login.consultant.ru/link/?req=doc&amp;base=RZB&amp;n=474804&amp;dst=105018" TargetMode="External"/><Relationship Id="rId11" Type="http://schemas.openxmlformats.org/officeDocument/2006/relationships/hyperlink" Target="https://login.consultant.ru/link/?req=doc&amp;base=RZB&amp;n=470444&amp;dst=100010" TargetMode="External"/><Relationship Id="rId12" Type="http://schemas.openxmlformats.org/officeDocument/2006/relationships/hyperlink" Target="https://login.consultant.ru/link/?req=doc&amp;base=RZB&amp;n=482686" TargetMode="External"/><Relationship Id="rId13" Type="http://schemas.openxmlformats.org/officeDocument/2006/relationships/hyperlink" Target="https://login.consultant.ru/link/?req=doc&amp;base=RZB&amp;n=358711&amp;dst=100009" TargetMode="External"/><Relationship Id="rId14" Type="http://schemas.openxmlformats.org/officeDocument/2006/relationships/hyperlink" Target="https://login.consultant.ru/link/?req=doc&amp;base=RZB&amp;n=416066&amp;dst=100013" TargetMode="External"/><Relationship Id="rId15" Type="http://schemas.openxmlformats.org/officeDocument/2006/relationships/hyperlink" Target="https://login.consultant.ru/link/?req=doc&amp;base=RZB&amp;n=370077&amp;dst=100013" TargetMode="External"/><Relationship Id="rId16" Type="http://schemas.openxmlformats.org/officeDocument/2006/relationships/hyperlink" Target="https://login.consultant.ru/link/?req=doc&amp;base=RZB&amp;n=185947&amp;dst=100010" TargetMode="External"/><Relationship Id="rId17" Type="http://schemas.openxmlformats.org/officeDocument/2006/relationships/hyperlink" Target="https://login.consultant.ru/link/?req=doc&amp;base=RZB&amp;n=338442&amp;dst=100013" TargetMode="External"/><Relationship Id="rId18" Type="http://schemas.openxmlformats.org/officeDocument/2006/relationships/hyperlink" Target="https://login.consultant.ru/link/?req=doc&amp;base=RZB&amp;n=341304&amp;dst=100010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LibreOffice/6.3.6.2$Windows_X86_64 LibreOffice_project/2196df99b074d8a661f4036fca8fa0cbfa33a497</Application>
  <Pages>10</Pages>
  <Words>3753</Words>
  <Characters>28870</Characters>
  <CharactersWithSpaces>32508</CharactersWithSpaces>
  <Paragraphs>115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2024-02-27T13:00:00Z</dcterms:created>
  <dc:creator>Поляков С. Н.</dc:creator>
  <dc:description/>
  <dc:language>ru-RU</dc:language>
  <cp:lastModifiedBy/>
  <dcterms:modified xsi:type="dcterms:W3CDTF">2025-02-05T13:02:50Z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